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1"/>
        <w:gridCol w:w="3370"/>
        <w:gridCol w:w="33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8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bookmarkStart w:id="0" w:name="_GoBack"/>
            <w:bookmarkEnd w:id="0"/>
            <w:r>
              <w:rPr>
                <w:rFonts w:ascii="黑体" w:hAnsi="宋体" w:eastAsia="黑体" w:cs="黑体"/>
                <w:i w:val="0"/>
                <w:iCs w:val="0"/>
                <w:kern w:val="0"/>
                <w:sz w:val="31"/>
                <w:szCs w:val="31"/>
                <w:u w:val="none"/>
                <w:bdr w:val="none" w:color="auto" w:sz="0" w:space="0"/>
                <w:lang w:val="en-US" w:eastAsia="zh-CN" w:bidi="ar"/>
              </w:rPr>
              <w:t>2023年北京市美术类考生综合分分数分布（本科）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分数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本段人数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累计人数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8490" w:type="dxa"/>
            <w:gridSpan w:val="3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注:1.综合分 = 高考文化课成绩（含照顾加分）×50% + 美术统考成绩/300×750×50%。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 2.该统计为美术统考本科合格且文化课成绩（含照顾加分）达到艺术类本科录取控制分数线的考生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  综合分分布统计，专科合格考生成绩分布统计表在填报专科志愿前公布。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wNmJmYTQ5YTAyMTkxMDM5NzUyMDFkMWY5NWYwNzcifQ=="/>
  </w:docVars>
  <w:rsids>
    <w:rsidRoot w:val="2CFE7C00"/>
    <w:rsid w:val="2CFE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2023-06-25T03:09:00Z</dcterms:created>
  <dc:creator>zrg</dc:creator>
  <cp:lastModifiedBy>zrg</cp:lastModifiedBy>
  <dcterms:modified xsi:type="dcterms:W3CDTF">2023-06-25T03:10:37Z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B1BEE543EC8B4FEFBC532F85CD50E6CC_11</vt:lpwstr>
  </property>
</Properties>
</file>