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方正小标宋简体" w:hAnsi="宋体" w:eastAsia="方正小标宋简体"/>
          <w:sz w:val="44"/>
          <w:szCs w:val="36"/>
        </w:rPr>
      </w:pPr>
      <w:r>
        <w:rPr>
          <w:rFonts w:hint="eastAsia" w:ascii="黑体" w:hAnsi="黑体" w:eastAsia="黑体" w:cs="宋体"/>
          <w:kern w:val="0"/>
          <w:szCs w:val="32"/>
        </w:rPr>
        <w:t>附件1</w:t>
      </w:r>
    </w:p>
    <w:p>
      <w:pPr>
        <w:spacing w:before="318" w:beforeLines="50" w:after="318" w:afterLines="50" w:line="540" w:lineRule="exact"/>
        <w:jc w:val="center"/>
        <w:rPr>
          <w:rFonts w:ascii="方正小标宋简体" w:hAnsi="宋体" w:eastAsia="方正小标宋简体"/>
          <w:sz w:val="44"/>
          <w:szCs w:val="36"/>
        </w:rPr>
      </w:pPr>
      <w:bookmarkStart w:id="0" w:name="_GoBack"/>
      <w:r>
        <w:rPr>
          <w:rFonts w:hint="eastAsia" w:ascii="方正小标宋简体" w:hAnsi="宋体" w:eastAsia="方正小标宋简体"/>
          <w:sz w:val="44"/>
          <w:szCs w:val="36"/>
        </w:rPr>
        <w:t>2021年度广西空军招飞初选检测日程安排</w:t>
      </w:r>
      <w:bookmarkEnd w:id="0"/>
    </w:p>
    <w:tbl>
      <w:tblPr>
        <w:tblStyle w:val="12"/>
        <w:tblW w:w="5189" w:type="pct"/>
        <w:jc w:val="center"/>
        <w:tblLayout w:type="autofit"/>
        <w:tblCellMar>
          <w:top w:w="0" w:type="dxa"/>
          <w:left w:w="108" w:type="dxa"/>
          <w:bottom w:w="0" w:type="dxa"/>
          <w:right w:w="108" w:type="dxa"/>
        </w:tblCellMar>
      </w:tblPr>
      <w:tblGrid>
        <w:gridCol w:w="871"/>
        <w:gridCol w:w="1179"/>
        <w:gridCol w:w="1697"/>
        <w:gridCol w:w="3084"/>
        <w:gridCol w:w="2454"/>
      </w:tblGrid>
      <w:tr>
        <w:tblPrEx>
          <w:tblCellMar>
            <w:top w:w="0" w:type="dxa"/>
            <w:left w:w="108" w:type="dxa"/>
            <w:bottom w:w="0" w:type="dxa"/>
            <w:right w:w="108" w:type="dxa"/>
          </w:tblCellMar>
        </w:tblPrEx>
        <w:trPr>
          <w:trHeight w:val="518" w:hRule="atLeas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8"/>
                <w:szCs w:val="24"/>
              </w:rPr>
            </w:pPr>
            <w:r>
              <w:rPr>
                <w:rFonts w:hint="eastAsia" w:ascii="黑体" w:hAnsi="黑体" w:eastAsia="黑体" w:cs="宋体"/>
                <w:color w:val="000000"/>
                <w:kern w:val="0"/>
                <w:sz w:val="28"/>
                <w:szCs w:val="24"/>
              </w:rPr>
              <w:t>序号</w:t>
            </w:r>
          </w:p>
        </w:tc>
        <w:tc>
          <w:tcPr>
            <w:tcW w:w="63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8"/>
                <w:szCs w:val="24"/>
              </w:rPr>
            </w:pPr>
            <w:r>
              <w:rPr>
                <w:rFonts w:hint="eastAsia" w:ascii="黑体" w:hAnsi="黑体" w:eastAsia="黑体" w:cs="宋体"/>
                <w:color w:val="000000"/>
                <w:kern w:val="0"/>
                <w:sz w:val="28"/>
                <w:szCs w:val="24"/>
              </w:rPr>
              <w:t>地市</w:t>
            </w:r>
          </w:p>
        </w:tc>
        <w:tc>
          <w:tcPr>
            <w:tcW w:w="914"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8"/>
                <w:szCs w:val="24"/>
              </w:rPr>
            </w:pPr>
            <w:r>
              <w:rPr>
                <w:rFonts w:hint="eastAsia" w:ascii="黑体" w:hAnsi="黑体" w:eastAsia="黑体" w:cs="宋体"/>
                <w:color w:val="000000"/>
                <w:kern w:val="0"/>
                <w:sz w:val="28"/>
                <w:szCs w:val="24"/>
              </w:rPr>
              <w:t>日期</w:t>
            </w:r>
          </w:p>
        </w:tc>
        <w:tc>
          <w:tcPr>
            <w:tcW w:w="1661"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8"/>
                <w:szCs w:val="24"/>
              </w:rPr>
            </w:pPr>
            <w:r>
              <w:rPr>
                <w:rFonts w:hint="eastAsia" w:ascii="黑体" w:hAnsi="黑体" w:eastAsia="黑体" w:cs="宋体"/>
                <w:color w:val="000000"/>
                <w:kern w:val="0"/>
                <w:sz w:val="28"/>
                <w:szCs w:val="24"/>
              </w:rPr>
              <w:t>设站学校</w:t>
            </w:r>
          </w:p>
        </w:tc>
        <w:tc>
          <w:tcPr>
            <w:tcW w:w="131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8"/>
                <w:szCs w:val="24"/>
              </w:rPr>
            </w:pPr>
            <w:r>
              <w:rPr>
                <w:rFonts w:hint="eastAsia" w:ascii="黑体" w:hAnsi="黑体" w:eastAsia="黑体" w:cs="宋体"/>
                <w:color w:val="000000"/>
                <w:kern w:val="0"/>
                <w:sz w:val="28"/>
                <w:szCs w:val="24"/>
              </w:rPr>
              <w:t>备注</w:t>
            </w:r>
          </w:p>
        </w:tc>
      </w:tr>
      <w:tr>
        <w:tblPrEx>
          <w:tblCellMar>
            <w:top w:w="0" w:type="dxa"/>
            <w:left w:w="108" w:type="dxa"/>
            <w:bottom w:w="0" w:type="dxa"/>
            <w:right w:w="108" w:type="dxa"/>
          </w:tblCellMar>
        </w:tblPrEx>
        <w:trPr>
          <w:trHeight w:val="680" w:hRule="exact"/>
          <w:jc w:val="center"/>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1</w:t>
            </w:r>
          </w:p>
        </w:tc>
        <w:tc>
          <w:tcPr>
            <w:tcW w:w="63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桂林市</w:t>
            </w:r>
          </w:p>
        </w:tc>
        <w:tc>
          <w:tcPr>
            <w:tcW w:w="914"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10月17日</w:t>
            </w:r>
          </w:p>
        </w:tc>
        <w:tc>
          <w:tcPr>
            <w:tcW w:w="1661"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桂林中学</w:t>
            </w:r>
          </w:p>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（解西校区）</w:t>
            </w:r>
          </w:p>
        </w:tc>
        <w:tc>
          <w:tcPr>
            <w:tcW w:w="1318" w:type="pct"/>
            <w:vMerge w:val="restart"/>
            <w:tcBorders>
              <w:top w:val="single" w:color="auto" w:sz="4" w:space="0"/>
              <w:left w:val="nil"/>
              <w:right w:val="single" w:color="auto" w:sz="4" w:space="0"/>
            </w:tcBorders>
            <w:shd w:val="clear" w:color="auto" w:fill="auto"/>
            <w:vAlign w:val="center"/>
          </w:tcPr>
          <w:p>
            <w:pPr>
              <w:spacing w:line="320" w:lineRule="exact"/>
              <w:ind w:firstLine="529" w:firstLineChars="195"/>
              <w:jc w:val="left"/>
              <w:rPr>
                <w:rFonts w:ascii="宋体" w:hAnsi="宋体" w:cs="仿宋_GB2312"/>
                <w:color w:val="000000"/>
                <w:kern w:val="0"/>
                <w:sz w:val="28"/>
                <w:szCs w:val="28"/>
              </w:rPr>
            </w:pPr>
            <w:r>
              <w:rPr>
                <w:rFonts w:hint="eastAsia" w:ascii="宋体" w:hAnsi="宋体" w:cs="仿宋_GB2312"/>
                <w:color w:val="000000"/>
                <w:kern w:val="0"/>
                <w:sz w:val="28"/>
                <w:szCs w:val="28"/>
              </w:rPr>
              <w:t>设站地市报名考生在本市设站学校参加初选检测，其他未设初选点地市的考生可任意选择设站地市的学校参加初选检测，建议学校组织考生根据实际情况就近就便参检。</w:t>
            </w: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2</w:t>
            </w:r>
          </w:p>
        </w:tc>
        <w:tc>
          <w:tcPr>
            <w:tcW w:w="635"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柳州市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10月18日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柳州铁一中学</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color w:val="000000"/>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3</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贵港市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10月19日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贵港市江南中学</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4</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南宁市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10月20日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南宁市第三十三中学</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5</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color w:val="000000"/>
                <w:kern w:val="0"/>
                <w:sz w:val="28"/>
                <w:szCs w:val="28"/>
              </w:rPr>
              <w:t>北海市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10月22日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color w:val="000000"/>
                <w:kern w:val="0"/>
                <w:sz w:val="28"/>
                <w:szCs w:val="28"/>
              </w:rPr>
              <w:t>北海市合浦县廉州中学</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6</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kern w:val="0"/>
                <w:sz w:val="28"/>
                <w:szCs w:val="28"/>
              </w:rPr>
              <w:t>钦州市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10月23日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kern w:val="0"/>
                <w:sz w:val="28"/>
                <w:szCs w:val="28"/>
              </w:rPr>
              <w:t>钦州市第二中学</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7</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玉林市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10月24日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玉林师院附中</w:t>
            </w:r>
          </w:p>
        </w:tc>
        <w:tc>
          <w:tcPr>
            <w:tcW w:w="1318" w:type="pct"/>
            <w:vMerge w:val="continue"/>
            <w:tcBorders>
              <w:left w:val="nil"/>
              <w:right w:val="single" w:color="auto" w:sz="4" w:space="0"/>
            </w:tcBorders>
            <w:shd w:val="clear" w:color="auto" w:fill="FFFFFF"/>
            <w:vAlign w:val="center"/>
          </w:tcPr>
          <w:p>
            <w:pPr>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680" w:hRule="exact"/>
          <w:jc w:val="center"/>
        </w:trPr>
        <w:tc>
          <w:tcPr>
            <w:tcW w:w="469" w:type="pct"/>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8</w:t>
            </w:r>
          </w:p>
        </w:tc>
        <w:tc>
          <w:tcPr>
            <w:tcW w:w="635"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r>
              <w:rPr>
                <w:rFonts w:hint="eastAsia" w:ascii="宋体" w:hAnsi="宋体" w:cs="仿宋_GB2312"/>
                <w:kern w:val="0"/>
                <w:sz w:val="28"/>
                <w:szCs w:val="28"/>
              </w:rPr>
              <w:t>梧州市</w:t>
            </w:r>
          </w:p>
        </w:tc>
        <w:tc>
          <w:tcPr>
            <w:tcW w:w="914"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10月26日</w:t>
            </w:r>
          </w:p>
        </w:tc>
        <w:tc>
          <w:tcPr>
            <w:tcW w:w="1661" w:type="pct"/>
            <w:tcBorders>
              <w:top w:val="nil"/>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color w:val="000000"/>
                <w:kern w:val="0"/>
                <w:sz w:val="28"/>
                <w:szCs w:val="28"/>
              </w:rPr>
            </w:pPr>
            <w:r>
              <w:rPr>
                <w:rFonts w:hint="eastAsia" w:ascii="宋体" w:hAnsi="宋体" w:cs="仿宋_GB2312"/>
                <w:color w:val="000000"/>
                <w:kern w:val="0"/>
                <w:sz w:val="28"/>
                <w:szCs w:val="28"/>
              </w:rPr>
              <w:t>梧州市第一中学</w:t>
            </w:r>
          </w:p>
        </w:tc>
        <w:tc>
          <w:tcPr>
            <w:tcW w:w="1318" w:type="pct"/>
            <w:vMerge w:val="continue"/>
            <w:tcBorders>
              <w:left w:val="nil"/>
              <w:bottom w:val="single" w:color="auto" w:sz="4" w:space="0"/>
              <w:right w:val="single" w:color="auto" w:sz="4" w:space="0"/>
            </w:tcBorders>
            <w:shd w:val="clear" w:color="auto" w:fill="FFFFFF"/>
            <w:vAlign w:val="center"/>
          </w:tcPr>
          <w:p>
            <w:pPr>
              <w:widowControl/>
              <w:spacing w:line="320" w:lineRule="exact"/>
              <w:jc w:val="center"/>
              <w:rPr>
                <w:rFonts w:ascii="宋体" w:hAnsi="宋体" w:cs="仿宋_GB2312"/>
                <w:kern w:val="0"/>
                <w:sz w:val="28"/>
                <w:szCs w:val="28"/>
              </w:rPr>
            </w:pPr>
          </w:p>
        </w:tc>
      </w:tr>
      <w:tr>
        <w:tblPrEx>
          <w:tblCellMar>
            <w:top w:w="0" w:type="dxa"/>
            <w:left w:w="108" w:type="dxa"/>
            <w:bottom w:w="0" w:type="dxa"/>
            <w:right w:w="108" w:type="dxa"/>
          </w:tblCellMar>
        </w:tblPrEx>
        <w:trPr>
          <w:trHeight w:val="2296" w:hRule="atLeast"/>
          <w:jc w:val="center"/>
        </w:trPr>
        <w:tc>
          <w:tcPr>
            <w:tcW w:w="1103" w:type="pct"/>
            <w:gridSpan w:val="2"/>
            <w:tcBorders>
              <w:top w:val="nil"/>
              <w:left w:val="single" w:color="auto" w:sz="4" w:space="0"/>
              <w:bottom w:val="single" w:color="auto" w:sz="4" w:space="0"/>
              <w:right w:val="single" w:color="auto" w:sz="4" w:space="0"/>
            </w:tcBorders>
            <w:shd w:val="clear" w:color="auto" w:fill="FFFFFF"/>
            <w:vAlign w:val="center"/>
          </w:tcPr>
          <w:p>
            <w:pPr>
              <w:widowControl/>
              <w:spacing w:line="320" w:lineRule="exact"/>
              <w:jc w:val="center"/>
              <w:rPr>
                <w:rFonts w:ascii="宋体" w:hAnsi="宋体" w:cs="宋体"/>
                <w:b/>
                <w:kern w:val="0"/>
                <w:sz w:val="28"/>
                <w:szCs w:val="28"/>
              </w:rPr>
            </w:pPr>
            <w:r>
              <w:rPr>
                <w:rFonts w:ascii="宋体" w:hAnsi="宋体" w:cs="宋体"/>
                <w:b/>
                <w:kern w:val="0"/>
                <w:sz w:val="28"/>
                <w:szCs w:val="28"/>
              </w:rPr>
              <w:t>设站要求</w:t>
            </w:r>
          </w:p>
        </w:tc>
        <w:tc>
          <w:tcPr>
            <w:tcW w:w="3897" w:type="pct"/>
            <w:gridSpan w:val="3"/>
            <w:tcBorders>
              <w:top w:val="nil"/>
              <w:left w:val="nil"/>
              <w:bottom w:val="single" w:color="auto" w:sz="4" w:space="0"/>
              <w:right w:val="single" w:color="auto" w:sz="4" w:space="0"/>
            </w:tcBorders>
            <w:shd w:val="clear" w:color="auto" w:fill="FFFFFF"/>
            <w:vAlign w:val="center"/>
          </w:tcPr>
          <w:p>
            <w:pPr>
              <w:widowControl/>
              <w:spacing w:line="320" w:lineRule="exact"/>
              <w:rPr>
                <w:rFonts w:ascii="宋体" w:hAnsi="宋体" w:cs="宋体"/>
                <w:color w:val="000000"/>
                <w:kern w:val="0"/>
                <w:sz w:val="28"/>
                <w:szCs w:val="28"/>
              </w:rPr>
            </w:pPr>
            <w:r>
              <w:rPr>
                <w:rFonts w:hint="eastAsia" w:ascii="宋体" w:hAnsi="宋体" w:cs="宋体"/>
                <w:color w:val="000000"/>
                <w:kern w:val="0"/>
                <w:sz w:val="28"/>
                <w:szCs w:val="28"/>
              </w:rPr>
              <w:t>1．学生集合点：大会议室或者大教室，带电源插座。</w:t>
            </w:r>
          </w:p>
          <w:p>
            <w:pPr>
              <w:widowControl/>
              <w:spacing w:line="320" w:lineRule="exact"/>
              <w:rPr>
                <w:rFonts w:ascii="宋体" w:hAnsi="宋体" w:cs="宋体"/>
                <w:color w:val="000000"/>
                <w:kern w:val="0"/>
                <w:sz w:val="28"/>
                <w:szCs w:val="28"/>
              </w:rPr>
            </w:pPr>
            <w:r>
              <w:rPr>
                <w:rFonts w:hint="eastAsia" w:ascii="宋体" w:hAnsi="宋体" w:cs="宋体"/>
                <w:color w:val="000000"/>
                <w:kern w:val="0"/>
                <w:sz w:val="28"/>
                <w:szCs w:val="28"/>
              </w:rPr>
              <w:t>2．眼科：长条形大房间1间，光线充足，配2套桌椅。</w:t>
            </w:r>
          </w:p>
          <w:p>
            <w:pPr>
              <w:widowControl/>
              <w:spacing w:line="320" w:lineRule="exact"/>
              <w:ind w:left="409" w:hanging="409" w:hangingChars="151"/>
              <w:rPr>
                <w:rFonts w:ascii="宋体" w:hAnsi="宋体" w:cs="宋体"/>
                <w:color w:val="000000"/>
                <w:kern w:val="0"/>
                <w:sz w:val="28"/>
                <w:szCs w:val="28"/>
              </w:rPr>
            </w:pPr>
            <w:r>
              <w:rPr>
                <w:rFonts w:hint="eastAsia" w:ascii="宋体" w:hAnsi="宋体" w:cs="宋体"/>
                <w:color w:val="000000"/>
                <w:kern w:val="0"/>
                <w:sz w:val="28"/>
                <w:szCs w:val="28"/>
              </w:rPr>
              <w:t>3．外科、神经科：30平方米以上的房间1间，光线充足（光线不足的加装200W白炽灯两个），配4套桌椅、窗帘、地毯（相应的垫脚物品），其余物品清空。</w:t>
            </w:r>
          </w:p>
          <w:p>
            <w:pPr>
              <w:widowControl/>
              <w:spacing w:line="320" w:lineRule="exact"/>
              <w:rPr>
                <w:rFonts w:ascii="宋体" w:hAnsi="宋体" w:cs="宋体"/>
                <w:kern w:val="0"/>
                <w:sz w:val="28"/>
                <w:szCs w:val="28"/>
              </w:rPr>
            </w:pPr>
            <w:r>
              <w:rPr>
                <w:rFonts w:hint="eastAsia" w:ascii="宋体" w:hAnsi="宋体" w:cs="宋体"/>
                <w:color w:val="000000"/>
                <w:kern w:val="0"/>
                <w:sz w:val="28"/>
                <w:szCs w:val="28"/>
              </w:rPr>
              <w:t>4．内科、耳鼻喉科：普通大房间1间，配桌椅4套。</w:t>
            </w:r>
          </w:p>
        </w:tc>
      </w:tr>
      <w:tr>
        <w:tblPrEx>
          <w:tblCellMar>
            <w:top w:w="0" w:type="dxa"/>
            <w:left w:w="108" w:type="dxa"/>
            <w:bottom w:w="0" w:type="dxa"/>
            <w:right w:w="108" w:type="dxa"/>
          </w:tblCellMar>
        </w:tblPrEx>
        <w:trPr>
          <w:trHeight w:val="1415"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ind w:left="1095" w:hanging="1092" w:hangingChars="403"/>
              <w:rPr>
                <w:rFonts w:ascii="宋体" w:hAnsi="宋体" w:cs="宋体"/>
                <w:color w:val="000000"/>
                <w:kern w:val="0"/>
                <w:sz w:val="28"/>
                <w:szCs w:val="28"/>
              </w:rPr>
            </w:pPr>
            <w:r>
              <w:rPr>
                <w:rFonts w:hint="eastAsia" w:ascii="宋体" w:hAnsi="宋体" w:cs="宋体"/>
                <w:b/>
                <w:color w:val="000000"/>
                <w:kern w:val="0"/>
                <w:sz w:val="28"/>
                <w:szCs w:val="28"/>
              </w:rPr>
              <w:t>备注</w:t>
            </w:r>
            <w:r>
              <w:rPr>
                <w:rFonts w:hint="eastAsia" w:ascii="宋体" w:hAnsi="宋体" w:cs="宋体"/>
                <w:color w:val="000000"/>
                <w:kern w:val="0"/>
                <w:sz w:val="28"/>
                <w:szCs w:val="28"/>
              </w:rPr>
              <w:t>：1.检测时间为上午8:30-11:30，报名学生就近就便参检，随到随检。</w:t>
            </w:r>
          </w:p>
          <w:p>
            <w:pPr>
              <w:widowControl/>
              <w:spacing w:line="380" w:lineRule="exact"/>
              <w:ind w:left="1096" w:leftChars="267" w:hanging="266" w:hangingChars="98"/>
              <w:rPr>
                <w:rFonts w:ascii="宋体" w:hAnsi="宋体" w:cs="宋体"/>
                <w:sz w:val="28"/>
                <w:szCs w:val="28"/>
              </w:rPr>
            </w:pPr>
            <w:r>
              <w:rPr>
                <w:rFonts w:hint="eastAsia" w:ascii="宋体" w:hAnsi="宋体" w:cs="宋体"/>
                <w:color w:val="000000"/>
                <w:kern w:val="0"/>
                <w:sz w:val="28"/>
                <w:szCs w:val="28"/>
              </w:rPr>
              <w:t>2.学生须携带能登录微信的智能手机、《2021年度空军招收高中生飞行学员初选参检表》和身份证（无身份证带户口簿），不需空腹。</w:t>
            </w:r>
          </w:p>
        </w:tc>
      </w:tr>
    </w:tbl>
    <w:p>
      <w:pPr>
        <w:tabs>
          <w:tab w:val="left" w:pos="935"/>
        </w:tabs>
        <w:bidi w:val="0"/>
        <w:jc w:val="left"/>
        <w:rPr>
          <w:rFonts w:ascii="Times New Roman" w:hAnsi="Times New Roman" w:eastAsia="宋体" w:cs="Times New Roman"/>
          <w:kern w:val="2"/>
          <w:sz w:val="32"/>
          <w:lang w:val="en-US" w:eastAsia="zh-CN" w:bidi="ar-SA"/>
        </w:rPr>
      </w:pPr>
    </w:p>
    <w:sectPr>
      <w:footerReference r:id="rId3" w:type="default"/>
      <w:footerReference r:id="rId4" w:type="even"/>
      <w:pgSz w:w="11907" w:h="16840"/>
      <w:pgMar w:top="2098" w:right="1588" w:bottom="1985" w:left="1588" w:header="964" w:footer="1594" w:gutter="0"/>
      <w:cols w:space="720" w:num="1"/>
      <w:docGrid w:type="linesAndChars" w:linePitch="637" w:charSpace="-19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 w:hAnsi="仿宋" w:eastAsia="仿宋"/>
      </w:rPr>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7</w:t>
    </w:r>
    <w:r>
      <w:rPr>
        <w:rFonts w:ascii="仿宋" w:hAnsi="仿宋" w:eastAsia="仿宋"/>
        <w:sz w:val="28"/>
        <w:szCs w:val="28"/>
      </w:rPr>
      <w:fldChar w:fldCharType="end"/>
    </w:r>
    <w:r>
      <w:rPr>
        <w:rFonts w:hint="eastAsia" w:ascii="仿宋" w:hAnsi="仿宋" w:eastAsia="仿宋"/>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8</w:t>
    </w:r>
    <w:r>
      <w:rPr>
        <w:rFonts w:ascii="仿宋" w:hAnsi="仿宋" w:eastAsia="仿宋"/>
        <w:sz w:val="28"/>
        <w:szCs w:val="28"/>
      </w:rPr>
      <w:fldChar w:fldCharType="end"/>
    </w:r>
    <w:r>
      <w:rPr>
        <w:rFonts w:hint="eastAsia" w:ascii="仿宋" w:hAnsi="仿宋" w:eastAsia="仿宋"/>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311"/>
  <w:drawingGridVerticalSpacing w:val="637"/>
  <w:displayHorizontalDrawingGridEvery w:val="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4619C"/>
    <w:rsid w:val="00172A27"/>
    <w:rsid w:val="00230965"/>
    <w:rsid w:val="004A2B34"/>
    <w:rsid w:val="00544C2E"/>
    <w:rsid w:val="006C2C4A"/>
    <w:rsid w:val="0086191E"/>
    <w:rsid w:val="00AA6C5A"/>
    <w:rsid w:val="00C521C4"/>
    <w:rsid w:val="00C53BEA"/>
    <w:rsid w:val="00C65C6A"/>
    <w:rsid w:val="00D451A8"/>
    <w:rsid w:val="00EB3477"/>
    <w:rsid w:val="00FD66F7"/>
    <w:rsid w:val="043B6B37"/>
    <w:rsid w:val="04B0E5A8"/>
    <w:rsid w:val="1A4C2170"/>
    <w:rsid w:val="2A680EB7"/>
    <w:rsid w:val="3882821C"/>
    <w:rsid w:val="44E2E3A3"/>
    <w:rsid w:val="49F8244F"/>
    <w:rsid w:val="53A3CFBB"/>
    <w:rsid w:val="6493413B"/>
    <w:rsid w:val="73B45240"/>
    <w:rsid w:val="7B3719D1"/>
    <w:rsid w:val="A8EF7FC4"/>
    <w:rsid w:val="DBDDE609"/>
    <w:rsid w:val="F8FA78D7"/>
    <w:rsid w:val="FEAE4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0"/>
    <w:pPr>
      <w:spacing w:after="120"/>
    </w:pPr>
    <w:rPr>
      <w:rFonts w:ascii="Calibri" w:hAnsi="Calibri" w:cs="Arial"/>
    </w:rPr>
  </w:style>
  <w:style w:type="paragraph" w:styleId="3">
    <w:name w:val="Body Text Indent"/>
    <w:basedOn w:val="1"/>
    <w:qFormat/>
    <w:uiPriority w:val="0"/>
    <w:pPr>
      <w:ind w:firstLine="645" w:firstLineChars="198"/>
    </w:pPr>
    <w:rPr>
      <w:rFonts w:ascii="仿宋_GB2312" w:hAnsi="Calibri" w:eastAsia="仿宋_GB2312" w:cs="Arial"/>
      <w:spacing w:val="4"/>
    </w:rPr>
  </w:style>
  <w:style w:type="paragraph" w:styleId="4">
    <w:name w:val="Plain Text"/>
    <w:basedOn w:val="1"/>
    <w:link w:val="22"/>
    <w:qFormat/>
    <w:uiPriority w:val="0"/>
    <w:rPr>
      <w:rFonts w:ascii="宋体" w:hAnsi="Courier New" w:cs="Arial"/>
      <w:sz w:val="21"/>
    </w:rPr>
  </w:style>
  <w:style w:type="paragraph" w:styleId="5">
    <w:name w:val="Date"/>
    <w:basedOn w:val="1"/>
    <w:next w:val="1"/>
    <w:link w:val="23"/>
    <w:qFormat/>
    <w:uiPriority w:val="0"/>
    <w:pPr>
      <w:ind w:left="100" w:leftChars="2500"/>
    </w:pPr>
    <w:rPr>
      <w:rFonts w:ascii="Calibri" w:hAnsi="Calibri" w:cs="Arial"/>
    </w:rPr>
  </w:style>
  <w:style w:type="paragraph" w:styleId="6">
    <w:name w:val="Body Text Indent 2"/>
    <w:basedOn w:val="1"/>
    <w:link w:val="19"/>
    <w:qFormat/>
    <w:uiPriority w:val="0"/>
    <w:pPr>
      <w:spacing w:after="120" w:line="480" w:lineRule="auto"/>
      <w:ind w:left="420" w:leftChars="200"/>
    </w:pPr>
    <w:rPr>
      <w:rFonts w:ascii="Calibri" w:hAnsi="Calibri" w:cs="Arial"/>
    </w:rPr>
  </w:style>
  <w:style w:type="paragraph" w:styleId="7">
    <w:name w:val="Balloon Text"/>
    <w:basedOn w:val="1"/>
    <w:link w:val="25"/>
    <w:qFormat/>
    <w:uiPriority w:val="0"/>
    <w:rPr>
      <w:rFonts w:ascii="Calibri" w:hAnsi="Calibri" w:cs="Arial"/>
      <w:sz w:val="18"/>
      <w:szCs w:val="18"/>
    </w:rPr>
  </w:style>
  <w:style w:type="paragraph" w:styleId="8">
    <w:name w:val="footer"/>
    <w:basedOn w:val="1"/>
    <w:link w:val="20"/>
    <w:qFormat/>
    <w:uiPriority w:val="0"/>
    <w:pPr>
      <w:tabs>
        <w:tab w:val="center" w:pos="4153"/>
        <w:tab w:val="right" w:pos="8306"/>
      </w:tabs>
      <w:snapToGrid w:val="0"/>
      <w:jc w:val="left"/>
    </w:pPr>
    <w:rPr>
      <w:rFonts w:ascii="Calibri" w:hAnsi="Calibri"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 w:type="paragraph" w:styleId="10">
    <w:name w:val="Body Text Indent 3"/>
    <w:basedOn w:val="1"/>
    <w:qFormat/>
    <w:uiPriority w:val="0"/>
    <w:pPr>
      <w:spacing w:after="120"/>
      <w:ind w:left="420" w:leftChars="200"/>
    </w:pPr>
    <w:rPr>
      <w:rFonts w:ascii="Calibri" w:hAnsi="Calibri" w:cs="Arial"/>
      <w:sz w:val="16"/>
      <w:szCs w:val="16"/>
    </w:rPr>
  </w:style>
  <w:style w:type="paragraph" w:styleId="11">
    <w:name w:val="Normal (Web)"/>
    <w:basedOn w:val="1"/>
    <w:qFormat/>
    <w:uiPriority w:val="0"/>
    <w:pPr>
      <w:jc w:val="left"/>
      <w:textAlignment w:val="top"/>
    </w:pPr>
    <w:rPr>
      <w:rFonts w:ascii="Calibri" w:hAnsi="Calibri" w:cs="Arial"/>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ascii="Calibri" w:hAnsi="Calibri" w:eastAsia="宋体" w:cs="Arial"/>
      <w:lang w:val="en-US" w:eastAsia="zh-CN" w:bidi="ar-SA"/>
    </w:rPr>
  </w:style>
  <w:style w:type="character" w:styleId="16">
    <w:name w:val="FollowedHyperlink"/>
    <w:basedOn w:val="14"/>
    <w:qFormat/>
    <w:uiPriority w:val="0"/>
    <w:rPr>
      <w:rFonts w:ascii="Calibri" w:hAnsi="Calibri" w:eastAsia="宋体" w:cs="Arial"/>
      <w:color w:val="800080"/>
      <w:u w:val="none"/>
      <w:lang w:val="en-US" w:eastAsia="zh-CN" w:bidi="ar-SA"/>
    </w:rPr>
  </w:style>
  <w:style w:type="character" w:styleId="17">
    <w:name w:val="Emphasis"/>
    <w:basedOn w:val="14"/>
    <w:qFormat/>
    <w:uiPriority w:val="0"/>
    <w:rPr>
      <w:rFonts w:ascii="Calibri" w:hAnsi="Calibri" w:eastAsia="宋体" w:cs="Arial"/>
      <w:lang w:val="en-US" w:eastAsia="zh-CN" w:bidi="ar-SA"/>
    </w:rPr>
  </w:style>
  <w:style w:type="character" w:styleId="18">
    <w:name w:val="Hyperlink"/>
    <w:qFormat/>
    <w:uiPriority w:val="0"/>
    <w:rPr>
      <w:rFonts w:ascii="Calibri" w:hAnsi="Calibri" w:eastAsia="宋体" w:cs="Arial"/>
      <w:color w:val="0000FF"/>
      <w:u w:val="single"/>
      <w:lang w:val="en-US" w:eastAsia="zh-CN" w:bidi="ar-SA"/>
    </w:rPr>
  </w:style>
  <w:style w:type="character" w:customStyle="1" w:styleId="19">
    <w:name w:val="正文文本缩进 2 字符"/>
    <w:link w:val="6"/>
    <w:qFormat/>
    <w:uiPriority w:val="0"/>
    <w:rPr>
      <w:rFonts w:ascii="Calibri" w:hAnsi="Calibri" w:eastAsia="宋体" w:cs="Arial"/>
      <w:kern w:val="2"/>
      <w:sz w:val="32"/>
      <w:lang w:val="en-US" w:eastAsia="zh-CN" w:bidi="ar-SA"/>
    </w:rPr>
  </w:style>
  <w:style w:type="character" w:customStyle="1" w:styleId="20">
    <w:name w:val="页脚 字符"/>
    <w:link w:val="8"/>
    <w:qFormat/>
    <w:uiPriority w:val="0"/>
    <w:rPr>
      <w:rFonts w:ascii="Calibri" w:hAnsi="Calibri" w:eastAsia="宋体" w:cs="Arial"/>
      <w:kern w:val="2"/>
      <w:sz w:val="18"/>
      <w:szCs w:val="18"/>
      <w:lang w:val="en-US" w:eastAsia="zh-CN" w:bidi="ar-SA"/>
    </w:rPr>
  </w:style>
  <w:style w:type="character" w:customStyle="1" w:styleId="21">
    <w:name w:val="正文文本 字符"/>
    <w:link w:val="2"/>
    <w:qFormat/>
    <w:uiPriority w:val="0"/>
    <w:rPr>
      <w:rFonts w:ascii="Calibri" w:hAnsi="Calibri" w:eastAsia="宋体" w:cs="Arial"/>
      <w:kern w:val="2"/>
      <w:sz w:val="32"/>
      <w:lang w:val="en-US" w:eastAsia="zh-CN" w:bidi="ar-SA"/>
    </w:rPr>
  </w:style>
  <w:style w:type="character" w:customStyle="1" w:styleId="22">
    <w:name w:val="纯文本 字符"/>
    <w:link w:val="4"/>
    <w:qFormat/>
    <w:uiPriority w:val="0"/>
    <w:rPr>
      <w:rFonts w:ascii="宋体" w:hAnsi="Courier New" w:eastAsia="宋体" w:cs="Arial"/>
      <w:kern w:val="2"/>
      <w:sz w:val="21"/>
      <w:lang w:val="en-US" w:eastAsia="zh-CN" w:bidi="ar-SA"/>
    </w:rPr>
  </w:style>
  <w:style w:type="character" w:customStyle="1" w:styleId="23">
    <w:name w:val="日期 字符"/>
    <w:link w:val="5"/>
    <w:qFormat/>
    <w:uiPriority w:val="0"/>
    <w:rPr>
      <w:rFonts w:ascii="Calibri" w:hAnsi="Calibri" w:eastAsia="宋体" w:cs="Arial"/>
      <w:kern w:val="2"/>
      <w:sz w:val="32"/>
      <w:lang w:val="en-US" w:eastAsia="zh-CN" w:bidi="ar-SA"/>
    </w:rPr>
  </w:style>
  <w:style w:type="paragraph" w:styleId="24">
    <w:name w:val="List Paragraph"/>
    <w:basedOn w:val="1"/>
    <w:qFormat/>
    <w:uiPriority w:val="0"/>
    <w:pPr>
      <w:ind w:firstLine="420" w:firstLineChars="200"/>
    </w:pPr>
    <w:rPr>
      <w:rFonts w:ascii="Calibri" w:hAnsi="Calibri" w:cs="Arial"/>
    </w:rPr>
  </w:style>
  <w:style w:type="character" w:customStyle="1" w:styleId="25">
    <w:name w:val="批注框文本 字符"/>
    <w:basedOn w:val="14"/>
    <w:link w:val="7"/>
    <w:qFormat/>
    <w:uiPriority w:val="0"/>
    <w:rPr>
      <w:rFonts w:ascii="Calibri" w:hAnsi="Calibri" w:eastAsia="宋体" w:cs="Arial"/>
      <w:kern w:val="2"/>
      <w:sz w:val="18"/>
      <w:szCs w:val="18"/>
      <w:lang w:val="en-US" w:eastAsia="zh-CN" w:bidi="ar-SA"/>
    </w:rPr>
  </w:style>
  <w:style w:type="character" w:customStyle="1" w:styleId="26">
    <w:name w:val="first-child"/>
    <w:basedOn w:val="14"/>
    <w:qFormat/>
    <w:uiPriority w:val="0"/>
    <w:rPr>
      <w:rFonts w:ascii="Calibri" w:hAnsi="Calibri" w:eastAsia="宋体" w:cs="Arial"/>
      <w:lang w:val="en-US" w:eastAsia="zh-CN" w:bidi="ar-SA"/>
    </w:rPr>
  </w:style>
  <w:style w:type="character" w:customStyle="1" w:styleId="27">
    <w:name w:val="layui-this"/>
    <w:basedOn w:val="14"/>
    <w:qFormat/>
    <w:uiPriority w:val="0"/>
    <w:rPr>
      <w:rFonts w:ascii="Calibri" w:hAnsi="Calibri" w:eastAsia="宋体" w:cs="Arial"/>
      <w:bdr w:val="single" w:color="EEEEEE" w:sz="6" w:space="0"/>
      <w:shd w:val="clear" w:color="auto" w:fill="FFFFFF"/>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B731B-BFAB-492D-9421-103FA7FAE50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3547</Words>
  <Characters>975</Characters>
  <Lines>8</Lines>
  <Paragraphs>9</Paragraphs>
  <TotalTime>7</TotalTime>
  <ScaleCrop>false</ScaleCrop>
  <LinksUpToDate>false</LinksUpToDate>
  <CharactersWithSpaces>4513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2020-10-12T03:28:00Z</dcterms:created>
  <dc:creator>雨林木风</dc:creator>
  <cp:lastModifiedBy>谭梦秋</cp:lastModifiedBy>
  <cp:lastPrinted>2020-10-12T03:29:00Z</cp:lastPrinted>
  <dcterms:modified xsi:type="dcterms:W3CDTF">2020-10-13T09:42:09Z</dcterms:modified>
  <dc:title>广东省招生办公室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